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2F8" w:rsidRPr="004403DB" w:rsidRDefault="008122F8" w:rsidP="008122F8">
      <w:pPr>
        <w:pStyle w:val="Nagwek1"/>
        <w:jc w:val="both"/>
      </w:pPr>
      <w:bookmarkStart w:id="0" w:name="_Toc456181802"/>
      <w:r>
        <w:t xml:space="preserve">II. </w:t>
      </w:r>
      <w:r w:rsidRPr="004403DB">
        <w:t>Opis poszczególnych osi priorytetowych PO oraz poszczególnych działań/ poddziałań</w:t>
      </w:r>
      <w:bookmarkEnd w:id="0"/>
    </w:p>
    <w:p w:rsidR="008122F8" w:rsidRPr="004403DB" w:rsidRDefault="008122F8" w:rsidP="008122F8">
      <w:pPr>
        <w:pStyle w:val="Nagwek2"/>
        <w:jc w:val="both"/>
      </w:pPr>
      <w:bookmarkStart w:id="1" w:name="_Toc456181803"/>
      <w:r w:rsidRPr="00963DD3">
        <w:t>Oś priorytetowa I Osoby młode na rynku pracy</w:t>
      </w:r>
      <w:bookmarkEnd w:id="1"/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1135"/>
        <w:gridCol w:w="1974"/>
        <w:gridCol w:w="1555"/>
        <w:gridCol w:w="1752"/>
      </w:tblGrid>
      <w:tr w:rsidR="008122F8" w:rsidRPr="004403DB" w:rsidTr="000B1BC2">
        <w:trPr>
          <w:trHeight w:val="20"/>
        </w:trPr>
        <w:tc>
          <w:tcPr>
            <w:tcW w:w="1535" w:type="pct"/>
          </w:tcPr>
          <w:p w:rsidR="008122F8" w:rsidRPr="004403DB" w:rsidRDefault="008122F8" w:rsidP="008122F8">
            <w:pPr>
              <w:numPr>
                <w:ilvl w:val="0"/>
                <w:numId w:val="5"/>
              </w:numPr>
              <w:suppressAutoHyphens/>
              <w:spacing w:before="30" w:after="30" w:line="240" w:lineRule="auto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 xml:space="preserve">Numer i nazwa </w:t>
            </w:r>
            <w:r w:rsidRPr="004403DB">
              <w:rPr>
                <w:rFonts w:cs="Calibri"/>
                <w:lang w:eastAsia="pl-PL"/>
              </w:rPr>
              <w:br/>
              <w:t>osi priorytetowej</w:t>
            </w:r>
          </w:p>
        </w:tc>
        <w:tc>
          <w:tcPr>
            <w:tcW w:w="3465" w:type="pct"/>
            <w:gridSpan w:val="4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Oś I Osoby młode na rynku pracy</w:t>
            </w:r>
          </w:p>
        </w:tc>
      </w:tr>
      <w:tr w:rsidR="008122F8" w:rsidRPr="004403DB" w:rsidTr="000B1BC2">
        <w:trPr>
          <w:trHeight w:val="20"/>
        </w:trPr>
        <w:tc>
          <w:tcPr>
            <w:tcW w:w="1535" w:type="pct"/>
          </w:tcPr>
          <w:p w:rsidR="008122F8" w:rsidRPr="004403DB" w:rsidDel="00AF55B1" w:rsidRDefault="008122F8" w:rsidP="008122F8">
            <w:pPr>
              <w:numPr>
                <w:ilvl w:val="0"/>
                <w:numId w:val="5"/>
              </w:numPr>
              <w:suppressAutoHyphens/>
              <w:spacing w:before="30" w:after="30" w:line="240" w:lineRule="auto"/>
              <w:jc w:val="both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 xml:space="preserve"> Cele szczegółowe osi priorytetowej </w:t>
            </w:r>
          </w:p>
        </w:tc>
        <w:tc>
          <w:tcPr>
            <w:tcW w:w="3465" w:type="pct"/>
            <w:gridSpan w:val="4"/>
          </w:tcPr>
          <w:p w:rsidR="008122F8" w:rsidRPr="004403DB" w:rsidRDefault="008122F8" w:rsidP="000B1BC2">
            <w:pPr>
              <w:spacing w:before="30" w:after="30" w:line="240" w:lineRule="auto"/>
              <w:jc w:val="both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 xml:space="preserve">Zwiększenie możliwości zatrudnienia osób młodych do 29 roku życia bez pracy, w tym w szczególności osób, które nie uczestniczą w kształceniu i szkoleniu (tzw. młodzież NEET). </w:t>
            </w:r>
          </w:p>
        </w:tc>
      </w:tr>
      <w:tr w:rsidR="008122F8" w:rsidRPr="004403DB" w:rsidTr="000B1BC2">
        <w:trPr>
          <w:trHeight w:val="20"/>
        </w:trPr>
        <w:tc>
          <w:tcPr>
            <w:tcW w:w="1535" w:type="pct"/>
          </w:tcPr>
          <w:p w:rsidR="008122F8" w:rsidRPr="004403DB" w:rsidRDefault="008122F8" w:rsidP="008122F8">
            <w:pPr>
              <w:numPr>
                <w:ilvl w:val="0"/>
                <w:numId w:val="5"/>
              </w:numPr>
              <w:suppressAutoHyphens/>
              <w:spacing w:before="30" w:after="30" w:line="240" w:lineRule="auto"/>
              <w:jc w:val="both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Charakter osi</w:t>
            </w:r>
          </w:p>
        </w:tc>
        <w:tc>
          <w:tcPr>
            <w:tcW w:w="3465" w:type="pct"/>
            <w:gridSpan w:val="4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Pro rata</w:t>
            </w:r>
          </w:p>
        </w:tc>
      </w:tr>
      <w:tr w:rsidR="008122F8" w:rsidRPr="004403DB" w:rsidTr="000B1BC2">
        <w:trPr>
          <w:trHeight w:val="20"/>
        </w:trPr>
        <w:tc>
          <w:tcPr>
            <w:tcW w:w="1535" w:type="pct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122F8" w:rsidRPr="004403DB" w:rsidRDefault="008122F8" w:rsidP="008122F8">
            <w:pPr>
              <w:numPr>
                <w:ilvl w:val="0"/>
                <w:numId w:val="5"/>
              </w:numPr>
              <w:suppressAutoHyphens/>
              <w:spacing w:before="30" w:after="30" w:line="240" w:lineRule="auto"/>
              <w:ind w:left="357" w:hanging="357"/>
              <w:jc w:val="both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Fundusz</w:t>
            </w:r>
            <w:r w:rsidRPr="004403DB">
              <w:rPr>
                <w:rFonts w:cs="Calibri"/>
                <w:lang w:eastAsia="pl-PL"/>
              </w:rPr>
              <w:br/>
              <w:t>(nazwa i kwota w EUR)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Nazwa Funduszu</w:t>
            </w:r>
          </w:p>
        </w:tc>
        <w:tc>
          <w:tcPr>
            <w:tcW w:w="10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Ogółem</w:t>
            </w:r>
          </w:p>
        </w:tc>
        <w:tc>
          <w:tcPr>
            <w:tcW w:w="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Koperta Mazowiecka</w:t>
            </w:r>
          </w:p>
        </w:tc>
        <w:tc>
          <w:tcPr>
            <w:tcW w:w="946" w:type="pct"/>
            <w:tcBorders>
              <w:left w:val="single" w:sz="4" w:space="0" w:color="auto"/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Koperta 15 województw</w:t>
            </w:r>
          </w:p>
        </w:tc>
      </w:tr>
      <w:tr w:rsidR="008122F8" w:rsidRPr="004403DB" w:rsidTr="000B1BC2">
        <w:trPr>
          <w:trHeight w:val="20"/>
        </w:trPr>
        <w:tc>
          <w:tcPr>
            <w:tcW w:w="1535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8122F8" w:rsidRPr="004403DB" w:rsidRDefault="008122F8" w:rsidP="008122F8">
            <w:pPr>
              <w:numPr>
                <w:ilvl w:val="0"/>
                <w:numId w:val="5"/>
              </w:numPr>
              <w:suppressAutoHyphens/>
              <w:spacing w:before="30" w:after="30" w:line="240" w:lineRule="auto"/>
              <w:jc w:val="both"/>
              <w:rPr>
                <w:rFonts w:cs="Calibri"/>
                <w:lang w:eastAsia="pl-P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EFS / YEI</w:t>
            </w:r>
            <w:r>
              <w:rPr>
                <w:rStyle w:val="Odwoanieprzypisudolnego"/>
                <w:lang w:eastAsia="pl-PL"/>
              </w:rPr>
              <w:footnoteReference w:id="1"/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jc w:val="right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 xml:space="preserve">2 035 181 126, </w:t>
            </w:r>
            <w:r w:rsidRPr="004403DB">
              <w:rPr>
                <w:rFonts w:cs="Calibri"/>
                <w:lang w:eastAsia="pl-PL"/>
              </w:rPr>
              <w:br/>
              <w:t>w tym wkład UE 1 757 133 267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</w:tcBorders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lang w:eastAsia="pl-PL"/>
              </w:rPr>
            </w:pPr>
          </w:p>
        </w:tc>
      </w:tr>
      <w:tr w:rsidR="008122F8" w:rsidRPr="004403DB" w:rsidTr="000B1BC2">
        <w:trPr>
          <w:trHeight w:val="20"/>
        </w:trPr>
        <w:tc>
          <w:tcPr>
            <w:tcW w:w="1535" w:type="pct"/>
          </w:tcPr>
          <w:p w:rsidR="008122F8" w:rsidRPr="004403DB" w:rsidRDefault="008122F8" w:rsidP="008122F8">
            <w:pPr>
              <w:numPr>
                <w:ilvl w:val="0"/>
                <w:numId w:val="5"/>
              </w:numPr>
              <w:suppressAutoHyphens/>
              <w:spacing w:before="30" w:after="30" w:line="240" w:lineRule="auto"/>
              <w:jc w:val="both"/>
              <w:rPr>
                <w:rFonts w:cs="Calibri"/>
                <w:lang w:eastAsia="pl-PL"/>
              </w:rPr>
            </w:pPr>
            <w:r w:rsidRPr="004403DB">
              <w:rPr>
                <w:rFonts w:cs="Calibri"/>
                <w:lang w:eastAsia="pl-PL"/>
              </w:rPr>
              <w:t>Instytucja zarządzająca</w:t>
            </w:r>
          </w:p>
        </w:tc>
        <w:tc>
          <w:tcPr>
            <w:tcW w:w="3465" w:type="pct"/>
            <w:gridSpan w:val="4"/>
          </w:tcPr>
          <w:p w:rsidR="008122F8" w:rsidRPr="004403DB" w:rsidRDefault="008122F8" w:rsidP="000B1BC2">
            <w:pPr>
              <w:spacing w:before="30" w:after="30" w:line="240" w:lineRule="auto"/>
              <w:jc w:val="both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>Ministerstwo Rozwoju</w:t>
            </w:r>
          </w:p>
        </w:tc>
      </w:tr>
    </w:tbl>
    <w:p w:rsidR="008122F8" w:rsidRPr="008F4070" w:rsidRDefault="008122F8" w:rsidP="008122F8"/>
    <w:p w:rsidR="008122F8" w:rsidRPr="004403DB" w:rsidRDefault="008122F8" w:rsidP="008122F8">
      <w:pPr>
        <w:pStyle w:val="Nagwek3"/>
        <w:jc w:val="both"/>
        <w:rPr>
          <w:rFonts w:ascii="Arial" w:hAnsi="Arial" w:cs="Arial"/>
        </w:rPr>
      </w:pPr>
      <w:bookmarkStart w:id="2" w:name="_Toc456181804"/>
      <w:r w:rsidRPr="004403DB">
        <w:t>Działanie 1.1. Wsparcie osób młodych pozostających bez pracy na regionalnym rynku pracy – projekty pozakonkursowe</w:t>
      </w:r>
      <w:bookmarkEnd w:id="2"/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7"/>
        <w:gridCol w:w="1385"/>
        <w:gridCol w:w="347"/>
        <w:gridCol w:w="1428"/>
        <w:gridCol w:w="77"/>
        <w:gridCol w:w="227"/>
        <w:gridCol w:w="1644"/>
        <w:gridCol w:w="88"/>
        <w:gridCol w:w="84"/>
        <w:gridCol w:w="1646"/>
      </w:tblGrid>
      <w:tr w:rsidR="008122F8" w:rsidRPr="004403DB" w:rsidTr="000B1BC2">
        <w:trPr>
          <w:cantSplit/>
        </w:trPr>
        <w:tc>
          <w:tcPr>
            <w:tcW w:w="5000" w:type="pct"/>
            <w:gridSpan w:val="10"/>
            <w:shd w:val="clear" w:color="auto" w:fill="E6E6E6"/>
          </w:tcPr>
          <w:p w:rsidR="008122F8" w:rsidRPr="004403DB" w:rsidRDefault="008122F8" w:rsidP="000B1BC2">
            <w:pPr>
              <w:spacing w:before="30" w:after="30" w:line="240" w:lineRule="auto"/>
              <w:jc w:val="center"/>
              <w:rPr>
                <w:rFonts w:cs="Calibri"/>
                <w:b/>
              </w:rPr>
            </w:pPr>
            <w:r w:rsidRPr="004403DB">
              <w:rPr>
                <w:rFonts w:cs="Calibri"/>
                <w:b/>
              </w:rPr>
              <w:t>OPIS DZIAŁANIA I PODDZIAŁAŃ</w:t>
            </w: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Nazwa działania/ poddziałania 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2954" w:type="pct"/>
            <w:gridSpan w:val="8"/>
          </w:tcPr>
          <w:p w:rsidR="008122F8" w:rsidRPr="004403DB" w:rsidRDefault="008122F8" w:rsidP="000B1BC2">
            <w:pPr>
              <w:spacing w:before="40" w:after="40" w:line="240" w:lineRule="auto"/>
              <w:jc w:val="both"/>
              <w:rPr>
                <w:rFonts w:cs="Calibri"/>
              </w:rPr>
            </w:pPr>
            <w:r w:rsidRPr="004403DB">
              <w:rPr>
                <w:rFonts w:cs="Calibri"/>
              </w:rPr>
              <w:t>Wsparcie osób młodych pozostających bez pracy na regionalnym rynku pracy – projekty pozakonkursowe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2954" w:type="pct"/>
            <w:gridSpan w:val="8"/>
          </w:tcPr>
          <w:p w:rsidR="008122F8" w:rsidRPr="004403DB" w:rsidRDefault="008122F8" w:rsidP="000B1BC2">
            <w:pPr>
              <w:spacing w:before="40" w:after="4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Wsparcie udzielane z Europejskiego Funduszu Społecznego</w:t>
            </w: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2954" w:type="pct"/>
            <w:gridSpan w:val="8"/>
          </w:tcPr>
          <w:p w:rsidR="008122F8" w:rsidRPr="004403DB" w:rsidRDefault="008122F8" w:rsidP="000B1BC2">
            <w:pPr>
              <w:spacing w:before="40" w:after="4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Wsparcie udzielane z Inicjatywy na rzecz zatrudnienia ludzi młodych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Cele szczegółowe działania/poddziałania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jc w:val="both"/>
              <w:rPr>
                <w:rFonts w:cs="Calibri"/>
              </w:rPr>
            </w:pPr>
            <w:r w:rsidRPr="004403DB">
              <w:rPr>
                <w:rFonts w:cs="Calibri"/>
                <w:lang w:eastAsia="pl-PL"/>
              </w:rPr>
              <w:t xml:space="preserve">Zwiększenie możliwości zatrudnienia osób młodych do 29 roku życia bez pracy, w tym w szczególności osób, które nie uczestniczą w kształceniu i szkoleniu (tzw. młodzież NEET). 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>
              <w:rPr>
                <w:rFonts w:cs="Calibri"/>
              </w:rPr>
              <w:t xml:space="preserve">Lista wskaźników rezultatu bezpośredniego 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>
              <w:rPr>
                <w:rFonts w:cs="Calibri"/>
              </w:rPr>
              <w:t>Zgodnie z załącznikiem 2a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>
              <w:rPr>
                <w:rFonts w:cs="Calibri"/>
              </w:rPr>
              <w:t xml:space="preserve">Liska wskaźników produktu 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>
              <w:rPr>
                <w:rFonts w:cs="Calibri"/>
              </w:rPr>
              <w:t>Zgodnie z załącznikiem 2a</w:t>
            </w: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Typy projektów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2954" w:type="pct"/>
            <w:gridSpan w:val="8"/>
            <w:shd w:val="clear" w:color="auto" w:fill="BFBFBF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2954" w:type="pct"/>
            <w:gridSpan w:val="8"/>
          </w:tcPr>
          <w:p w:rsidR="008122F8" w:rsidRPr="009F44D6" w:rsidRDefault="008122F8" w:rsidP="000B1BC2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 xml:space="preserve">Instrumenty i usługi rynku pracy wynikające z Ustawy z dnia 20 kwietnia 2004 r. o promocji zatrudnienia i 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lastRenderedPageBreak/>
              <w:t>instytucjach rynku pracy (Dz.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 xml:space="preserve"> 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>U. z 201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>5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 xml:space="preserve"> r. poz. 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>149,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 xml:space="preserve"> z póź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>n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>.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 xml:space="preserve"> 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 xml:space="preserve">zm.), z wyłączeniem robót publicznych, odnoszące się do następujących typów 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>projektów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>:</w:t>
            </w:r>
          </w:p>
          <w:p w:rsidR="008122F8" w:rsidRPr="009F44D6" w:rsidRDefault="008122F8" w:rsidP="000B1BC2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09" w:right="113"/>
              <w:jc w:val="both"/>
              <w:rPr>
                <w:rFonts w:cs="Calibri"/>
                <w:b/>
                <w:lang w:eastAsia="pl-PL"/>
              </w:rPr>
            </w:pPr>
          </w:p>
          <w:p w:rsidR="008122F8" w:rsidRPr="009F44D6" w:rsidRDefault="008122F8" w:rsidP="008122F8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</w:t>
            </w:r>
            <w:r w:rsidRPr="009F44D6">
              <w:rPr>
                <w:rStyle w:val="Odwoanieprzypisudolnego"/>
                <w:b/>
                <w:lang w:eastAsia="pl-PL"/>
              </w:rPr>
              <w:footnoteReference w:id="2"/>
            </w:r>
            <w:r w:rsidRPr="009F44D6">
              <w:rPr>
                <w:rFonts w:cs="Calibri"/>
                <w:b/>
                <w:lang w:eastAsia="pl-PL"/>
              </w:rPr>
              <w:t xml:space="preserve"> i usługi rynku pracy służące indywidualizacji wsparcia oraz pomocy w zakresie określenia ścieżki zawodowej (obligatoryjne)</w:t>
            </w:r>
            <w:r w:rsidRPr="009F44D6">
              <w:rPr>
                <w:rFonts w:ascii="Arial" w:hAnsi="Arial"/>
                <w:b/>
                <w:sz w:val="16"/>
                <w:vertAlign w:val="superscript"/>
                <w:lang w:eastAsia="pl-PL"/>
              </w:rPr>
              <w:footnoteReference w:id="3"/>
            </w:r>
            <w:r w:rsidRPr="009F44D6">
              <w:rPr>
                <w:rFonts w:cs="Calibri"/>
                <w:b/>
                <w:lang w:eastAsia="pl-PL"/>
              </w:rPr>
              <w:t>: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identyfikacja potrzeb osób młodych pozostających bez zatrudnienia oraz diagnozowanie możliwości w zakresie doskonalenia zawodowego, w tym identyfikacja stopnia oddalenia od rynku pracy osób młodych,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kompleksowe i indywidualne pośrednictwo pracy w zakresie wyboru zawodu zgodnego z kwalifikacjami i kompetencjami wspieranej osoby lub poradnictwo zawodowe w zakresie planowania rozwoju kariery zawodowej, w tym podnoszenia lub uzupełniania kompetencji i kwalifikacji zawodowych,</w:t>
            </w:r>
          </w:p>
          <w:p w:rsidR="008122F8" w:rsidRPr="009F44D6" w:rsidRDefault="008122F8" w:rsidP="008122F8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 xml:space="preserve">Instrumenty i usługi rynku pracy skierowane do osób, które przedwcześnie opuszczają system edukacji lub osób, u których zidentyfikowano potrzebę uzupełnienia lub zdobycia nowych umiejętności i kompetencji: 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 xml:space="preserve">nabywanie, podwyższanie lub dostosowywanie kompetencji i kwalifikacji, niezbędnych na rynku pracy w kontekście zidentyfikowanych potrzeb osoby, której udzielane jest wsparcie, m.in. poprzez wysokiej jakości szkolenia, </w:t>
            </w:r>
          </w:p>
          <w:p w:rsidR="008122F8" w:rsidRPr="009F44D6" w:rsidRDefault="008122F8" w:rsidP="008122F8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 i usługi rynku pracy służące zdobyciu doświadczenia zawodowego wymaganego przez pracodawców: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nabywanie lub uzupełnianie doświadczenia zawodowego oraz praktycznych umiejętności w zakresie wykonywania danego zawodu, m.in. poprzez staże i praktyki, spełniające standardy wskazane w Europejskich Ramach Jakości Praktyk i Staży,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 xml:space="preserve">wsparcie zatrudnienia osoby młodej u przedsiębiorcy lub innego pracodawcy, stanowiące zachętę do zatrudnienia, m.in. poprzez </w:t>
            </w:r>
            <w:r w:rsidRPr="009F44D6">
              <w:rPr>
                <w:rFonts w:cs="Calibri"/>
                <w:b/>
                <w:lang w:eastAsia="pl-PL"/>
              </w:rPr>
              <w:lastRenderedPageBreak/>
              <w:t>pokrycie kosztów subsydiowania zatrudnienia dla osób, u których zidentyfikowano adekwatność tej formy wsparcia, refundację wyposażenia lub doposażenia stanowiska pracy (wyłącznie w połączeniu z subsydiowanym zatrudnieniem),</w:t>
            </w:r>
          </w:p>
          <w:p w:rsidR="008122F8" w:rsidRPr="009F44D6" w:rsidRDefault="008122F8" w:rsidP="008122F8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wsparcie mobilności międzysektorowej dla osób, które mają trudności ze znalezieniem zatrudnienia w sektorze lub branży, m.in. poprzez zmianę lub uzupełnienie kompetencji lub kwalifikacji pozwalających na podjęcie zatrudnienia w innym sektorze, min. poprzez praktyki, staże i szkolenia, spełniające standardy wyznaczone dla tych usług (np. Europejskie i Polskie Ramy Jakości Praktyk i Staży),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zasiedlenie,</w:t>
            </w:r>
          </w:p>
          <w:p w:rsidR="008122F8" w:rsidRPr="009F44D6" w:rsidRDefault="008122F8" w:rsidP="008122F8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 i usługi rynku pracy skierowane do osób niepełnosprawnych: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 xml:space="preserve">niwelowanie barier jakie napotykają osoby młode niepełnosprawne w zakresie zdobycia i utrzymania zatrudnienia, m.in. poprzez finansowanie pracy asystenta osoby niepełnosprawnej, którego praca spełnia standardy wyznaczone dla takiej usługi i doposażenie stanowiska pracy do potrzeb osób niepełnosprawnych. </w:t>
            </w:r>
          </w:p>
          <w:p w:rsidR="008122F8" w:rsidRPr="009F44D6" w:rsidRDefault="008122F8" w:rsidP="008122F8">
            <w:pPr>
              <w:numPr>
                <w:ilvl w:val="0"/>
                <w:numId w:val="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 i usługi rynku pracy służące rozwojowi przedsiębiorczości i samozatrudnienia:</w:t>
            </w:r>
          </w:p>
          <w:p w:rsidR="008122F8" w:rsidRPr="004403DB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</w:rPr>
            </w:pPr>
            <w:r w:rsidRPr="009F44D6">
              <w:rPr>
                <w:rFonts w:cs="Calibri"/>
                <w:b/>
                <w:lang w:eastAsia="pl-PL"/>
              </w:rPr>
              <w:t>wsparcie osób młodych w zakładaniu i prowadzeniu własnej działalności gospodarczej poprzez udzielenie pomocy bezzwrotnej (dotacji) na utworzenie przedsiębiorstwa oraz doradztwo i szkolenia umożliwiające uzyskanie wiedzy i umiejętności niezbędnych do podjęcia i prowadzenia działalności gospodarczej, a także wsparcie pomostowe.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2954" w:type="pct"/>
            <w:gridSpan w:val="8"/>
          </w:tcPr>
          <w:p w:rsidR="008122F8" w:rsidRPr="009F44D6" w:rsidRDefault="008122F8" w:rsidP="000B1BC2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 xml:space="preserve">Instrumenty i usługi rynku pracy wynikające z Ustawy z dnia 20 kwietnia 2004 r. o promocji zatrudnienia i 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lastRenderedPageBreak/>
              <w:t>instytucjach rynku pracy (Dz.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 xml:space="preserve"> 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>U. z 201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>5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 xml:space="preserve"> r. poz. 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>149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>, z póź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>n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>.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 xml:space="preserve"> 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 xml:space="preserve">zm.), z wyłączeniem robót publicznych, odnoszące się do następujących typów </w:t>
            </w:r>
            <w:r>
              <w:rPr>
                <w:rFonts w:cs="Calibri"/>
                <w:b/>
                <w:bCs/>
                <w:color w:val="000000"/>
                <w:lang w:eastAsia="pl-PL"/>
              </w:rPr>
              <w:t>projektów</w:t>
            </w:r>
            <w:r w:rsidRPr="009F44D6">
              <w:rPr>
                <w:rFonts w:cs="Calibri"/>
                <w:b/>
                <w:bCs/>
                <w:color w:val="000000"/>
                <w:lang w:eastAsia="pl-PL"/>
              </w:rPr>
              <w:t>:</w:t>
            </w:r>
          </w:p>
          <w:p w:rsidR="008122F8" w:rsidRPr="004403DB" w:rsidRDefault="008122F8" w:rsidP="000B1BC2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09" w:right="113"/>
              <w:jc w:val="both"/>
              <w:rPr>
                <w:rFonts w:cs="Calibri"/>
                <w:b/>
                <w:lang w:eastAsia="pl-PL"/>
              </w:rPr>
            </w:pPr>
          </w:p>
          <w:p w:rsidR="008122F8" w:rsidRPr="009F44D6" w:rsidRDefault="008122F8" w:rsidP="008122F8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 i usługi rynku pracy służące indywidualizacji wsparcia oraz pomocy w zakresie określenia ścieżki zawodowej (obligatoryjne)</w:t>
            </w:r>
            <w:r w:rsidRPr="009F44D6">
              <w:rPr>
                <w:rFonts w:ascii="Arial" w:hAnsi="Arial"/>
                <w:b/>
                <w:sz w:val="16"/>
                <w:vertAlign w:val="superscript"/>
                <w:lang w:eastAsia="pl-PL"/>
              </w:rPr>
              <w:footnoteReference w:id="4"/>
            </w:r>
            <w:r w:rsidRPr="009F44D6">
              <w:rPr>
                <w:rFonts w:cs="Calibri"/>
                <w:b/>
                <w:lang w:eastAsia="pl-PL"/>
              </w:rPr>
              <w:t>: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identyfikacja potrzeb osób młodych pozostających bez zatrudnienia oraz diagnozowanie możliwości w zakresie doskonalenia zawodowego, w tym identyfikacja stopnia oddalenia od rynku pracy osób młodych,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kompleksowe i indywidualne pośrednictwo pracy w zakresie wyboru zawodu zgodnego z kwalifikacjami i kompetencjami wspieranej osoby lub poradnictwo zawodowe w zakresie planowania rozwoju kariery zawodowej, w tym podnoszenia lub uzupełniania kompetencji i kwalifikacji zawodowych,</w:t>
            </w:r>
          </w:p>
          <w:p w:rsidR="008122F8" w:rsidRPr="009F44D6" w:rsidRDefault="008122F8" w:rsidP="008122F8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 xml:space="preserve">Instrumenty i usługi rynku pracy skierowane do osób, które przedwcześnie opuszczają system edukacji lub osób, u których zidentyfikowano potrzebę uzupełnienia lub zdobycia nowych umiejętności i kompetencji: 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 xml:space="preserve">nabywanie, podwyższanie lub dostosowywanie kompetencji i kwalifikacji, niezbędnych na rynku pracy w kontekście zidentyfikowanych potrzeb osoby, której udzielane jest wsparcie, m.in. poprzez wysokiej jakości szkolenia, </w:t>
            </w:r>
          </w:p>
          <w:p w:rsidR="008122F8" w:rsidRPr="009F44D6" w:rsidRDefault="008122F8" w:rsidP="008122F8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 i usługi rynku pracy służące zdobyciu doświadczenia zawodowego wymaganego przez pracodawców: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nabywanie lub uzupełnianie doświadczenia zawodowego oraz praktycznych umiejętności w zakresie wykonywania danego zawodu, m.in. poprzez staże i praktyki, spełniające standardy wskazane w Europejskich Ramach Jakości Praktyk i Staży,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 xml:space="preserve">wsparcie zatrudnienia osoby młodej u przedsiębiorcy lub innego pracodawcy, stanowiące zachętę do zatrudnienia, m.in. poprzez pokrycie kosztów subsydiowania zatrudnienia dla osób, u których zidentyfikowano adekwatność tej </w:t>
            </w:r>
            <w:r w:rsidRPr="009F44D6">
              <w:rPr>
                <w:rFonts w:cs="Calibri"/>
                <w:b/>
                <w:lang w:eastAsia="pl-PL"/>
              </w:rPr>
              <w:lastRenderedPageBreak/>
              <w:t>formy wsparcia, refundację wyposażenia lub doposażenia stanowiska pracy (wyłącznie w połączeniu z subsydiowanym zatrudnieniem),</w:t>
            </w:r>
          </w:p>
          <w:p w:rsidR="008122F8" w:rsidRPr="009F44D6" w:rsidRDefault="008122F8" w:rsidP="008122F8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wsparcie mobilności międzysektorowej dla osób, które mają trudności ze znalezieniem zatrudnienia w sektorze lub branży, m.in. poprzez zmianę lub uzupełnienie kompetencji lub kwalifikacji pozwalających na podjęcie zatrudnienia w innym sektorze, min. poprzez praktyki, staże i szkolenia, spełniające standardy wyznaczone dla tych usług (np. Europejskie i Polskie Ramy Jakości Praktyk i Staży),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zasiedlenie,</w:t>
            </w:r>
          </w:p>
          <w:p w:rsidR="008122F8" w:rsidRPr="009F44D6" w:rsidRDefault="008122F8" w:rsidP="008122F8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 i usługi rynku pracy skierowane do osób niepełnosprawnych:</w:t>
            </w:r>
          </w:p>
          <w:p w:rsidR="008122F8" w:rsidRPr="009F44D6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 xml:space="preserve">niwelowanie barier jakie napotykają osoby młode niepełnosprawne w zakresie zdobycia i utrzymania zatrudnienia, m.in. poprzez finansowanie pracy asystenta osoby niepełnosprawnej, którego praca spełnia standardy wyznaczone dla takiej usługi i doposażenie stanowiska pracy do potrzeb osób niepełnosprawnych. </w:t>
            </w:r>
          </w:p>
          <w:p w:rsidR="008122F8" w:rsidRPr="009F44D6" w:rsidRDefault="008122F8" w:rsidP="008122F8">
            <w:pPr>
              <w:numPr>
                <w:ilvl w:val="0"/>
                <w:numId w:val="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b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Instrumenty i usługi rynku pracy służące rozwojowi przedsiębiorczości i samozatrudnienia:</w:t>
            </w:r>
          </w:p>
          <w:p w:rsidR="008122F8" w:rsidRPr="006E6AD2" w:rsidRDefault="008122F8" w:rsidP="008122F8">
            <w:pPr>
              <w:numPr>
                <w:ilvl w:val="0"/>
                <w:numId w:val="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cs="Calibri"/>
                <w:lang w:eastAsia="pl-PL"/>
              </w:rPr>
            </w:pPr>
            <w:r w:rsidRPr="009F44D6">
              <w:rPr>
                <w:rFonts w:cs="Calibri"/>
                <w:b/>
                <w:lang w:eastAsia="pl-PL"/>
              </w:rPr>
              <w:t>wsparcie osób młodych w zakładaniu i prowadzeniu własnej działalności gospodarczej poprzez udzielenie pomocy bezzwrotnej (dotacji) na utworzenie przedsiębiorstwa oraz doradztwo i szkolenia umożliwiające uzyskanie wiedzy i umiejętności niezbędnych do podjęcia i prowadzenia działalności gospodarczej, a także wsparcie pomostowe.</w:t>
            </w: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lastRenderedPageBreak/>
              <w:t xml:space="preserve">Typ beneficjenta 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2954" w:type="pct"/>
            <w:gridSpan w:val="8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strike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2954" w:type="pct"/>
            <w:gridSpan w:val="8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Powiatowe urzędy pracy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2954" w:type="pct"/>
            <w:gridSpan w:val="8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Powiatowe urzędy pracy</w:t>
            </w:r>
          </w:p>
        </w:tc>
      </w:tr>
      <w:tr w:rsidR="008122F8" w:rsidRPr="004403DB" w:rsidTr="000B1BC2">
        <w:trPr>
          <w:trHeight w:val="1266"/>
        </w:trPr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lastRenderedPageBreak/>
              <w:t>Grupa docelowa/ ostateczni odbiorcy wsparcia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2954" w:type="pct"/>
            <w:gridSpan w:val="8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strike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2954" w:type="pct"/>
            <w:gridSpan w:val="8"/>
          </w:tcPr>
          <w:p w:rsidR="008122F8" w:rsidRPr="00B04249" w:rsidRDefault="008122F8" w:rsidP="000B1BC2">
            <w:pPr>
              <w:jc w:val="both"/>
              <w:rPr>
                <w:rFonts w:cs="Calibri"/>
                <w:strike/>
              </w:rPr>
            </w:pPr>
            <w:r w:rsidRPr="004403DB">
              <w:rPr>
                <w:rFonts w:cs="Calibri"/>
                <w:lang w:eastAsia="pl-PL"/>
              </w:rPr>
              <w:t>osoby młode w wieku 18-29 lat bez pracy, zarejestrowane w PUP jako bezrobot</w:t>
            </w:r>
            <w:r>
              <w:rPr>
                <w:rFonts w:cs="Calibri"/>
                <w:lang w:eastAsia="pl-PL"/>
              </w:rPr>
              <w:t>ne (dla których został ustalony</w:t>
            </w:r>
            <w:r w:rsidRPr="004403DB">
              <w:rPr>
                <w:rFonts w:cs="Calibri"/>
                <w:lang w:eastAsia="pl-PL"/>
              </w:rPr>
              <w:t xml:space="preserve"> I lub II profil pomocy</w:t>
            </w:r>
            <w:r w:rsidRPr="004403DB">
              <w:rPr>
                <w:rFonts w:ascii="Arial" w:hAnsi="Arial"/>
                <w:sz w:val="16"/>
                <w:vertAlign w:val="superscript"/>
                <w:lang w:eastAsia="pl-PL"/>
              </w:rPr>
              <w:footnoteReference w:id="5"/>
            </w:r>
            <w:r w:rsidRPr="004403DB">
              <w:rPr>
                <w:rFonts w:cs="Calibri"/>
                <w:lang w:eastAsia="pl-PL"/>
              </w:rPr>
              <w:t>),</w:t>
            </w:r>
            <w:r w:rsidRPr="00B04249">
              <w:rPr>
                <w:rFonts w:cs="Calibri"/>
                <w:lang w:eastAsia="pl-PL"/>
              </w:rPr>
              <w:t xml:space="preserve"> które nie uczestniczą w kształceniu i szkoleniu - tzw. młodzież NEET</w:t>
            </w:r>
            <w:r w:rsidRPr="004403DB">
              <w:rPr>
                <w:rFonts w:cs="Calibri"/>
                <w:vertAlign w:val="superscript"/>
                <w:lang w:eastAsia="pl-PL"/>
              </w:rPr>
              <w:footnoteReference w:id="6"/>
            </w:r>
            <w:r w:rsidRPr="004403DB">
              <w:rPr>
                <w:rFonts w:cs="Calibri"/>
                <w:lang w:eastAsia="pl-PL"/>
              </w:rPr>
              <w:t>.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2954" w:type="pct"/>
            <w:gridSpan w:val="8"/>
          </w:tcPr>
          <w:p w:rsidR="008122F8" w:rsidRPr="00B04249" w:rsidRDefault="008122F8" w:rsidP="000B1BC2">
            <w:pPr>
              <w:spacing w:before="30" w:after="30" w:line="240" w:lineRule="auto"/>
              <w:jc w:val="both"/>
              <w:rPr>
                <w:rFonts w:cs="Calibri"/>
                <w:strike/>
              </w:rPr>
            </w:pPr>
            <w:r w:rsidRPr="004403DB">
              <w:rPr>
                <w:rFonts w:cs="Calibri"/>
                <w:lang w:eastAsia="pl-PL"/>
              </w:rPr>
              <w:t>osoby młode w wieku 18-29 lat bez pracy, zarejestrowane w PUP jako bezrobotne (dla których został ustalony I lub II profil pomocy</w:t>
            </w:r>
            <w:r w:rsidRPr="004403DB">
              <w:rPr>
                <w:rFonts w:ascii="Arial" w:hAnsi="Arial"/>
                <w:sz w:val="16"/>
                <w:vertAlign w:val="superscript"/>
                <w:lang w:eastAsia="pl-PL"/>
              </w:rPr>
              <w:footnoteReference w:id="7"/>
            </w:r>
            <w:r w:rsidRPr="004403DB">
              <w:rPr>
                <w:rFonts w:cs="Calibri"/>
                <w:lang w:eastAsia="pl-PL"/>
              </w:rPr>
              <w:t>), które nie uczestniczą w kształceniu i szkoleniu - tzw. młodzież NEET</w:t>
            </w:r>
            <w:r w:rsidRPr="004403DB">
              <w:rPr>
                <w:rFonts w:cs="Calibri"/>
                <w:vertAlign w:val="superscript"/>
                <w:lang w:eastAsia="pl-PL"/>
              </w:rPr>
              <w:footnoteReference w:id="8"/>
            </w:r>
            <w:r w:rsidRPr="004403DB">
              <w:rPr>
                <w:rFonts w:cs="Calibri"/>
                <w:lang w:eastAsia="pl-PL"/>
              </w:rPr>
              <w:t>.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Instytucja pośrednicząca (jeśli dotyczy)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Wojewódzkie Urzędy Pracy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Instytucja wdrażająca (jeśli dotyczy)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Kategoria(e) </w:t>
            </w:r>
            <w:r w:rsidRPr="00834487">
              <w:rPr>
                <w:rFonts w:cs="Calibri"/>
              </w:rPr>
              <w:t xml:space="preserve">regionu(ów) </w:t>
            </w:r>
            <w:r w:rsidRPr="00834487">
              <w:rPr>
                <w:rFonts w:cs="Calibri"/>
              </w:rPr>
              <w:br/>
              <w:t xml:space="preserve">wraz z przypisaniem </w:t>
            </w:r>
            <w:r w:rsidRPr="00834487">
              <w:rPr>
                <w:rFonts w:cs="Calibri"/>
              </w:rPr>
              <w:br/>
              <w:t>kwot UE (EUR)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87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Ogółem</w:t>
            </w:r>
          </w:p>
        </w:tc>
        <w:tc>
          <w:tcPr>
            <w:tcW w:w="1089" w:type="pct"/>
            <w:gridSpan w:val="4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Mazowiecka</w:t>
            </w: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15 województw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987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jc w:val="right"/>
              <w:rPr>
                <w:rFonts w:cs="Calibri"/>
              </w:rPr>
            </w:pPr>
            <w:r w:rsidRPr="004403DB">
              <w:rPr>
                <w:rFonts w:cs="Calibri"/>
              </w:rPr>
              <w:t>1 564 433 378, w tym wkład UE 1 351 994 361</w:t>
            </w:r>
          </w:p>
        </w:tc>
        <w:tc>
          <w:tcPr>
            <w:tcW w:w="1089" w:type="pct"/>
            <w:gridSpan w:val="4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877" w:type="pct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987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jc w:val="right"/>
              <w:rPr>
                <w:rFonts w:cs="Calibri"/>
              </w:rPr>
            </w:pPr>
            <w:r w:rsidRPr="004403DB">
              <w:rPr>
                <w:rFonts w:cs="Calibri"/>
              </w:rPr>
              <w:t>1 125 072 835, w tym wkład UE 948 257 646</w:t>
            </w:r>
          </w:p>
        </w:tc>
        <w:tc>
          <w:tcPr>
            <w:tcW w:w="1089" w:type="pct"/>
            <w:gridSpan w:val="4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877" w:type="pct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987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jc w:val="right"/>
              <w:rPr>
                <w:rFonts w:cs="Calibri"/>
              </w:rPr>
            </w:pPr>
            <w:r w:rsidRPr="004403DB">
              <w:rPr>
                <w:rFonts w:cs="Calibri"/>
              </w:rPr>
              <w:t>439 360 543, w tym wkład UE 403 736 715</w:t>
            </w:r>
          </w:p>
        </w:tc>
        <w:tc>
          <w:tcPr>
            <w:tcW w:w="1089" w:type="pct"/>
            <w:gridSpan w:val="4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877" w:type="pct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Mechanizmy powiązania interwencji z innymi działaniami/ poddziałaniami w ramach PO lub z </w:t>
            </w:r>
            <w:r w:rsidRPr="004403DB">
              <w:rPr>
                <w:rFonts w:cs="Calibri"/>
              </w:rPr>
              <w:lastRenderedPageBreak/>
              <w:t>innymi PO</w:t>
            </w:r>
            <w:r w:rsidRPr="004403DB">
              <w:rPr>
                <w:rFonts w:cs="Calibri"/>
              </w:rPr>
              <w:br/>
              <w:t>(jeśli dotyczy)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jc w:val="both"/>
              <w:rPr>
                <w:rFonts w:cs="Calibri"/>
              </w:rPr>
            </w:pPr>
            <w:r w:rsidRPr="004403DB">
              <w:rPr>
                <w:rFonts w:cs="Calibri"/>
                <w:lang w:eastAsia="pl-PL"/>
              </w:rPr>
              <w:lastRenderedPageBreak/>
              <w:t>Mechanizmy koordynacji i komplementarności opisano w części I S</w:t>
            </w:r>
            <w:r>
              <w:rPr>
                <w:rFonts w:cs="Calibri"/>
                <w:lang w:eastAsia="pl-PL"/>
              </w:rPr>
              <w:t>Z</w:t>
            </w:r>
            <w:r w:rsidRPr="004403DB">
              <w:rPr>
                <w:rFonts w:cs="Calibri"/>
                <w:lang w:eastAsia="pl-PL"/>
              </w:rPr>
              <w:t>OOP.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Instrumenty terytorialne (jeśli dotyczy)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Tryb(y) wyboru projektów</w:t>
            </w:r>
            <w:r w:rsidRPr="004403DB">
              <w:rPr>
                <w:rFonts w:cs="Calibri"/>
              </w:rPr>
              <w:br/>
              <w:t xml:space="preserve"> oraz wskazanie podmiotu odpowiedzialnego za nabór i ocenę wniosków oraz przyjmowanie protestów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2954" w:type="pct"/>
            <w:gridSpan w:val="8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  <w:strike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2954" w:type="pct"/>
            <w:gridSpan w:val="8"/>
          </w:tcPr>
          <w:p w:rsidR="008122F8" w:rsidRPr="004403DB" w:rsidRDefault="008122F8" w:rsidP="008122F8">
            <w:pPr>
              <w:numPr>
                <w:ilvl w:val="0"/>
                <w:numId w:val="6"/>
              </w:num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Pozakonkursowy</w:t>
            </w: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Pr="004403DB" w:rsidRDefault="008122F8" w:rsidP="000B1BC2">
            <w:pPr>
              <w:spacing w:before="30" w:after="30" w:line="240" w:lineRule="auto"/>
              <w:jc w:val="both"/>
              <w:rPr>
                <w:rFonts w:cs="Calibri"/>
              </w:rPr>
            </w:pPr>
            <w:r w:rsidRPr="004403DB">
              <w:rPr>
                <w:rFonts w:cs="Calibri"/>
              </w:rPr>
              <w:t>Podmiot odpowiedzialny - Wojewódzki Urząd Pracy właściwy dla danego województwa.</w:t>
            </w:r>
          </w:p>
        </w:tc>
      </w:tr>
      <w:tr w:rsidR="008122F8" w:rsidRPr="004403DB" w:rsidTr="000B1BC2">
        <w:trPr>
          <w:trHeight w:val="1162"/>
        </w:trPr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2954" w:type="pct"/>
            <w:gridSpan w:val="8"/>
          </w:tcPr>
          <w:p w:rsidR="008122F8" w:rsidRPr="004403DB" w:rsidRDefault="008122F8" w:rsidP="008122F8">
            <w:pPr>
              <w:numPr>
                <w:ilvl w:val="0"/>
                <w:numId w:val="6"/>
              </w:num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Pozakonkursowy</w:t>
            </w:r>
          </w:p>
          <w:p w:rsidR="008122F8" w:rsidRPr="004403DB" w:rsidRDefault="008122F8" w:rsidP="000B1BC2">
            <w:pPr>
              <w:spacing w:before="30" w:after="30" w:line="240" w:lineRule="auto"/>
              <w:jc w:val="both"/>
              <w:rPr>
                <w:rFonts w:cs="Calibri"/>
              </w:rPr>
            </w:pPr>
            <w:r w:rsidRPr="004403DB">
              <w:rPr>
                <w:rFonts w:cs="Calibri"/>
              </w:rPr>
              <w:br/>
              <w:t>Podmiot odpowiedzialny - Wojewódzki Urząd Pracy właściwy dla danego województwa.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Limity i ograniczenia w realizacji projektów (jeśli dotyczą)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40" w:after="40" w:line="240" w:lineRule="auto"/>
              <w:jc w:val="both"/>
              <w:rPr>
                <w:rFonts w:cs="Calibri"/>
              </w:rPr>
            </w:pPr>
            <w:r w:rsidRPr="004403DB">
              <w:rPr>
                <w:rFonts w:cs="Calibri"/>
              </w:rPr>
              <w:t>W przypadku województw objętych Inicjatywą na rzecz zatrudnienia ludzi młodych warunkiem realizacji projektów poza Inicjatywą, jest pełne wykorzystanie alokacji przeznaczonej na Inicjatywę.</w:t>
            </w:r>
          </w:p>
          <w:p w:rsidR="008122F8" w:rsidRPr="004403DB" w:rsidRDefault="008122F8" w:rsidP="000B1BC2">
            <w:pPr>
              <w:spacing w:before="30" w:after="30" w:line="240" w:lineRule="auto"/>
              <w:jc w:val="both"/>
              <w:rPr>
                <w:rFonts w:cs="Calibri"/>
              </w:rPr>
            </w:pPr>
            <w:r w:rsidRPr="004403DB">
              <w:rPr>
                <w:rFonts w:cs="Calibri"/>
              </w:rPr>
              <w:t>Środki przeznaczone na realizację Inicjatywy na rzecz zatrudnienia ludzi młodych muszą zostać wykorzystane do 2018 r.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Warunki i planowany zakres stosowania </w:t>
            </w:r>
            <w:r w:rsidRPr="004403DB">
              <w:rPr>
                <w:rFonts w:cs="Calibri"/>
              </w:rPr>
              <w:br/>
            </w:r>
            <w:r w:rsidRPr="0033248C">
              <w:rPr>
                <w:rFonts w:cs="Calibri"/>
              </w:rPr>
              <w:t>cross-financingu</w:t>
            </w:r>
            <w:r>
              <w:rPr>
                <w:rFonts w:cs="Calibri"/>
              </w:rPr>
              <w:t xml:space="preserve"> (%) </w:t>
            </w:r>
            <w:r w:rsidRPr="004403DB">
              <w:rPr>
                <w:rFonts w:cs="Calibri"/>
              </w:rPr>
              <w:t>(jeśli dotyczy)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Dopuszczona </w:t>
            </w:r>
            <w:r>
              <w:rPr>
                <w:rFonts w:cs="Calibri"/>
              </w:rPr>
              <w:t xml:space="preserve">maksymalna </w:t>
            </w:r>
            <w:r w:rsidRPr="004403DB">
              <w:rPr>
                <w:rFonts w:cs="Calibri"/>
              </w:rPr>
              <w:t>wartość zakupionych środków trwałych</w:t>
            </w:r>
            <w:r w:rsidRPr="004403DB">
              <w:rPr>
                <w:rFonts w:cs="Calibri"/>
              </w:rPr>
              <w:br/>
              <w:t>jako % wydatków kwalifikowalnych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Ogółem</w:t>
            </w:r>
          </w:p>
        </w:tc>
        <w:tc>
          <w:tcPr>
            <w:tcW w:w="1038" w:type="pct"/>
            <w:gridSpan w:val="3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Mazowiecka</w:t>
            </w:r>
          </w:p>
        </w:tc>
        <w:tc>
          <w:tcPr>
            <w:tcW w:w="969" w:type="pct"/>
            <w:gridSpan w:val="3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15 województw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-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Warunki uwzględnienia dochodu w projekcie </w:t>
            </w:r>
            <w:r w:rsidRPr="004403DB">
              <w:rPr>
                <w:rFonts w:cs="Calibri"/>
              </w:rPr>
              <w:br/>
              <w:t>(jeśli dotyczy)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Warunki stosowania uproszczonych form rozliczania wydatków i planowany zakres systemu zaliczek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jc w:val="both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Uproszczone formy rozliczania wydatków mają zastosowanie zgodnie z </w:t>
            </w:r>
            <w:r w:rsidRPr="004403DB">
              <w:rPr>
                <w:rFonts w:cs="Calibri"/>
                <w:i/>
              </w:rPr>
              <w:t xml:space="preserve">Wytycznymi w zakresie kwalifikowalności wydatków w ramach Europejskiego Funduszu Rozwoju Regionalnego, Europejskiego Funduszu Społecznego oraz Funduszu Spójności na lata 2014-2020 </w:t>
            </w:r>
            <w:r w:rsidRPr="004403DB">
              <w:rPr>
                <w:rFonts w:cs="Calibri"/>
              </w:rPr>
              <w:t>jedynie do kosztów pośrednich rozliczanych ryczałtem do wysokości określonej w art. 9 ust. 2d ustawy z dnia 20 kwietnia 2004 r. o promocji zatrudnienia i instytucjach rynku pracy.</w:t>
            </w:r>
          </w:p>
          <w:p w:rsidR="008122F8" w:rsidRPr="004403DB" w:rsidRDefault="008122F8" w:rsidP="000B1BC2">
            <w:pPr>
              <w:spacing w:before="30" w:after="30" w:line="240" w:lineRule="auto"/>
              <w:jc w:val="both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Finansowanie zaliczkowe nieplanowane - finansowanie projektów odbywa się na zasadach określonych w ustawie z dnia 20 kwietnia 2004 r. o promocji zatrudnienia i instytucjach rynku pracy. </w:t>
            </w: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Pomoc publiczna </w:t>
            </w:r>
            <w:r w:rsidRPr="004403DB">
              <w:rPr>
                <w:rFonts w:cs="Calibri"/>
              </w:rPr>
              <w:br/>
              <w:t xml:space="preserve">i pomoc </w:t>
            </w:r>
            <w:r w:rsidRPr="00091C5E">
              <w:rPr>
                <w:rFonts w:cs="Calibri"/>
              </w:rPr>
              <w:t>de minimis</w:t>
            </w:r>
            <w:r w:rsidRPr="004403DB">
              <w:rPr>
                <w:rFonts w:cs="Calibri"/>
              </w:rPr>
              <w:br/>
              <w:t>(rodzaj i przeznaczenie pomocy, unijna i krajowa podstawa prawna)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1038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O ile dotyczy:</w:t>
            </w: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Pomoc de minimis, pomoc publiczna na szkolenia i/lub doradztwo i/lub subsydiowanie zatrudnienia i/lub doposażenie lub wyposażenie sta</w:t>
            </w:r>
            <w:r>
              <w:rPr>
                <w:rFonts w:cs="Calibri"/>
              </w:rPr>
              <w:t xml:space="preserve">nowiska pracy i/lub dotacja na </w:t>
            </w:r>
            <w:r w:rsidRPr="004403DB">
              <w:rPr>
                <w:rFonts w:cs="Calibri"/>
              </w:rPr>
              <w:t>utworzenie przedsiębiorstwa</w:t>
            </w:r>
          </w:p>
        </w:tc>
        <w:tc>
          <w:tcPr>
            <w:tcW w:w="1038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Rozporządzenie Komisji (UE) NR 1407/2013 z dnia 18 grudnia 2013 r. </w:t>
            </w:r>
            <w:r w:rsidRPr="004932D4">
              <w:rPr>
                <w:rFonts w:cs="Calibri"/>
              </w:rPr>
              <w:t>w sprawie stosowania art. 107 i 108 Traktatu o funkcjonowaniu Unii Eur</w:t>
            </w:r>
            <w:r>
              <w:rPr>
                <w:rFonts w:cs="Calibri"/>
              </w:rPr>
              <w:t xml:space="preserve">opejskiej do pomocy de minimis </w:t>
            </w:r>
            <w:r w:rsidRPr="004932D4">
              <w:rPr>
                <w:rFonts w:cs="Calibri"/>
              </w:rPr>
              <w:t>(Dz. Urz. UE L 352 z 24.12.2013, s. 1)</w:t>
            </w:r>
          </w:p>
          <w:p w:rsidR="008122F8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5E244E">
              <w:rPr>
                <w:rFonts w:cs="Calibri"/>
              </w:rPr>
              <w:t>Rozporządzeni</w:t>
            </w:r>
            <w:r>
              <w:rPr>
                <w:rFonts w:cs="Calibri"/>
              </w:rPr>
              <w:t>e</w:t>
            </w:r>
            <w:r w:rsidRPr="005E244E">
              <w:rPr>
                <w:rFonts w:cs="Calibri"/>
              </w:rPr>
              <w:t xml:space="preserve"> Komisji (UE) nr 651/2014 z 17.06.2014 uznające niektóre rodzaje pomocy za zgodne z rynkiem wewnętrznym w zastosowaniu art. 107 i 108 Traktatu  (Dz. Urz. UE L 187 z 26.06.2014, s. 1) </w:t>
            </w: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</w:tcPr>
          <w:p w:rsidR="008122F8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Rozporządzenie </w:t>
            </w:r>
            <w:r>
              <w:rPr>
                <w:rFonts w:cs="Calibri"/>
              </w:rPr>
              <w:t>Ministra Pracy i Polityki Społecznej z dnia 24 czerwca 2014 r. w sprawie organizowania prac interwencyjnych i robót publicznych oraz jednorazowej refundacji kosztów z tytułu opłaconych składek na ubezpieczenia społeczne (</w:t>
            </w:r>
            <w:r w:rsidRPr="00F760D4">
              <w:rPr>
                <w:rFonts w:cs="Calibri"/>
              </w:rPr>
              <w:t>Dz.</w:t>
            </w:r>
            <w:r>
              <w:rPr>
                <w:rFonts w:cs="Calibri"/>
              </w:rPr>
              <w:t xml:space="preserve"> </w:t>
            </w:r>
            <w:r w:rsidRPr="00F760D4">
              <w:rPr>
                <w:rFonts w:cs="Calibri"/>
              </w:rPr>
              <w:t xml:space="preserve">U. </w:t>
            </w:r>
            <w:r>
              <w:rPr>
                <w:rFonts w:cs="Calibri"/>
              </w:rPr>
              <w:t xml:space="preserve">z </w:t>
            </w:r>
            <w:r w:rsidRPr="00F760D4">
              <w:rPr>
                <w:rFonts w:cs="Calibri"/>
              </w:rPr>
              <w:t>2014</w:t>
            </w:r>
            <w:r>
              <w:rPr>
                <w:rFonts w:cs="Calibri"/>
              </w:rPr>
              <w:t xml:space="preserve"> r.</w:t>
            </w:r>
            <w:r w:rsidRPr="00F760D4">
              <w:rPr>
                <w:rFonts w:cs="Calibri"/>
              </w:rPr>
              <w:t xml:space="preserve"> poz. 864</w:t>
            </w:r>
            <w:r>
              <w:rPr>
                <w:rFonts w:cs="Calibri"/>
              </w:rPr>
              <w:t>)</w:t>
            </w:r>
          </w:p>
          <w:p w:rsidR="008122F8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>
              <w:rPr>
                <w:rFonts w:cs="Calibri"/>
              </w:rPr>
              <w:t>Rozporządzenie Ministra Pracy i Polityki Społecznej z dnia 23 kwietnia 2012 r. w sprawie dokonywania z Funduszu Pracy refundacji kosztów wyposażenia lub doposażenia stanowiska pracy dla skierowanego bezrobotnego oraz przyznawania środków na podjęcie działalności gospodarczej (</w:t>
            </w:r>
            <w:r w:rsidRPr="006226D8">
              <w:rPr>
                <w:rFonts w:cs="Calibri"/>
              </w:rPr>
              <w:t>Dz.</w:t>
            </w:r>
            <w:r>
              <w:rPr>
                <w:rFonts w:cs="Calibri"/>
              </w:rPr>
              <w:t xml:space="preserve"> </w:t>
            </w:r>
            <w:r w:rsidRPr="006226D8">
              <w:rPr>
                <w:rFonts w:cs="Calibri"/>
              </w:rPr>
              <w:t xml:space="preserve">U. </w:t>
            </w:r>
            <w:r>
              <w:rPr>
                <w:rFonts w:cs="Calibri"/>
              </w:rPr>
              <w:t xml:space="preserve">z </w:t>
            </w:r>
            <w:r w:rsidRPr="006226D8">
              <w:rPr>
                <w:rFonts w:cs="Calibri"/>
              </w:rPr>
              <w:t>201</w:t>
            </w:r>
            <w:r>
              <w:rPr>
                <w:rFonts w:cs="Calibri"/>
              </w:rPr>
              <w:t>5 r.</w:t>
            </w:r>
            <w:r w:rsidRPr="006226D8">
              <w:rPr>
                <w:rFonts w:cs="Calibri"/>
              </w:rPr>
              <w:t xml:space="preserve"> poz. </w:t>
            </w:r>
            <w:r>
              <w:rPr>
                <w:rFonts w:cs="Calibri"/>
              </w:rPr>
              <w:t>1041)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O ile dotyczy:</w:t>
            </w: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Pomoc de minimis, pomoc publiczna na </w:t>
            </w:r>
            <w:r w:rsidRPr="004403DB">
              <w:rPr>
                <w:rFonts w:cs="Calibri"/>
              </w:rPr>
              <w:lastRenderedPageBreak/>
              <w:t>szkolenia i/lub doradztwo i/lub subsydiowanie zatrudnienia i/lub doposażenie lub wyposażenie stanowiska pracy i/lub dotacja na utworzenie przedsiębiorstwa</w:t>
            </w:r>
          </w:p>
        </w:tc>
        <w:tc>
          <w:tcPr>
            <w:tcW w:w="1038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Rozporządzenie Komisji (UE) NR 1407/2013</w:t>
            </w:r>
            <w:r w:rsidRPr="005E244E">
              <w:rPr>
                <w:rFonts w:cs="Calibri"/>
              </w:rPr>
              <w:t xml:space="preserve"> z dnia 18 grudnia 2013 r.  w sprawie </w:t>
            </w:r>
            <w:r w:rsidRPr="005E244E">
              <w:rPr>
                <w:rFonts w:cs="Calibri"/>
              </w:rPr>
              <w:lastRenderedPageBreak/>
              <w:t>stosowania art. 107 i 108 Traktatu o funkcjonowaniu Unii Europejskiej do pomocy de minimis  (Dz. Urz. UE L 352 z 24.12.2013, s. 1)</w:t>
            </w: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5E244E">
              <w:rPr>
                <w:rFonts w:cs="Calibri"/>
              </w:rPr>
              <w:t>Rozporządzeni</w:t>
            </w:r>
            <w:r>
              <w:rPr>
                <w:rFonts w:cs="Calibri"/>
              </w:rPr>
              <w:t>e</w:t>
            </w:r>
            <w:r w:rsidRPr="005E244E">
              <w:rPr>
                <w:rFonts w:cs="Calibri"/>
              </w:rPr>
              <w:t xml:space="preserve"> Komisji (UE) nr 651/2014 z 17.06.2014 uznające niektóre rodzaje pomocy za zgodne z rynkiem wewnętrznym w zastosowaniu art. 107 i 108 Traktatu  (Dz. Urz. UE L 187 z 26.06.2014, s. 1)</w:t>
            </w:r>
          </w:p>
        </w:tc>
        <w:tc>
          <w:tcPr>
            <w:tcW w:w="969" w:type="pct"/>
            <w:gridSpan w:val="3"/>
          </w:tcPr>
          <w:p w:rsidR="008122F8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lastRenderedPageBreak/>
              <w:t xml:space="preserve">Rozporządzenie </w:t>
            </w:r>
            <w:r>
              <w:rPr>
                <w:rFonts w:cs="Calibri"/>
              </w:rPr>
              <w:t xml:space="preserve">Ministra Pracy i Polityki Społecznej z dnia 24 czerwca 2014 </w:t>
            </w:r>
            <w:r>
              <w:rPr>
                <w:rFonts w:cs="Calibri"/>
              </w:rPr>
              <w:lastRenderedPageBreak/>
              <w:t>r. w sprawie organizowania prac interwencyjnych i robót publicznych oraz jednorazowej refundacji kosztów z tytułu opłaconych składek na ubezpieczenia społeczne (</w:t>
            </w:r>
            <w:r w:rsidRPr="00F760D4">
              <w:rPr>
                <w:rFonts w:cs="Calibri"/>
              </w:rPr>
              <w:t>Dz.</w:t>
            </w:r>
            <w:r>
              <w:rPr>
                <w:rFonts w:cs="Calibri"/>
              </w:rPr>
              <w:t xml:space="preserve"> </w:t>
            </w:r>
            <w:r w:rsidRPr="00F760D4">
              <w:rPr>
                <w:rFonts w:cs="Calibri"/>
              </w:rPr>
              <w:t xml:space="preserve">U. </w:t>
            </w:r>
            <w:r>
              <w:rPr>
                <w:rFonts w:cs="Calibri"/>
              </w:rPr>
              <w:t xml:space="preserve">z </w:t>
            </w:r>
            <w:r w:rsidRPr="00F760D4">
              <w:rPr>
                <w:rFonts w:cs="Calibri"/>
              </w:rPr>
              <w:t xml:space="preserve">2014 </w:t>
            </w:r>
            <w:r>
              <w:rPr>
                <w:rFonts w:cs="Calibri"/>
              </w:rPr>
              <w:t xml:space="preserve">r. </w:t>
            </w:r>
            <w:r w:rsidRPr="00F760D4">
              <w:rPr>
                <w:rFonts w:cs="Calibri"/>
              </w:rPr>
              <w:t>poz. 864</w:t>
            </w:r>
            <w:r>
              <w:rPr>
                <w:rFonts w:cs="Calibri"/>
              </w:rPr>
              <w:t>)</w:t>
            </w:r>
          </w:p>
          <w:p w:rsidR="008122F8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>
              <w:rPr>
                <w:rFonts w:cs="Calibri"/>
              </w:rPr>
              <w:t>Rozporządzenie Ministra Pracy i Polityki Społecznej z dnia 23 kwietnia 2012 r. w sprawie dokonywania z Funduszu Pracy refundacji kosztów wyposażenia lub doposażenia stanowiska pracy dla skierowanego bezrobotnego oraz przyznawania środków na podjęcie działalności gospodarczej (</w:t>
            </w:r>
            <w:r w:rsidRPr="006226D8">
              <w:rPr>
                <w:rFonts w:cs="Calibri"/>
              </w:rPr>
              <w:t>Dz.</w:t>
            </w:r>
            <w:r>
              <w:rPr>
                <w:rFonts w:cs="Calibri"/>
              </w:rPr>
              <w:t xml:space="preserve"> </w:t>
            </w:r>
            <w:r w:rsidRPr="006226D8">
              <w:rPr>
                <w:rFonts w:cs="Calibri"/>
              </w:rPr>
              <w:t xml:space="preserve">U. </w:t>
            </w:r>
            <w:r>
              <w:rPr>
                <w:rFonts w:cs="Calibri"/>
              </w:rPr>
              <w:t xml:space="preserve">z </w:t>
            </w:r>
            <w:r w:rsidRPr="006226D8">
              <w:rPr>
                <w:rFonts w:cs="Calibri"/>
              </w:rPr>
              <w:t>201</w:t>
            </w:r>
            <w:r>
              <w:rPr>
                <w:rFonts w:cs="Calibri"/>
              </w:rPr>
              <w:t>5</w:t>
            </w:r>
            <w:r w:rsidRPr="006226D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r. </w:t>
            </w:r>
            <w:r w:rsidRPr="006226D8">
              <w:rPr>
                <w:rFonts w:cs="Calibri"/>
              </w:rPr>
              <w:t xml:space="preserve">poz. </w:t>
            </w:r>
            <w:r>
              <w:rPr>
                <w:rFonts w:cs="Calibri"/>
              </w:rPr>
              <w:t>1041)</w:t>
            </w: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lastRenderedPageBreak/>
              <w:t xml:space="preserve">Maksymalny </w:t>
            </w:r>
            <w:r w:rsidRPr="004403DB">
              <w:rPr>
                <w:rFonts w:cs="Calibri"/>
              </w:rPr>
              <w:br/>
              <w:t xml:space="preserve">% poziom dofinansowania UE wydatków kwalifikowalnych </w:t>
            </w:r>
            <w:r w:rsidRPr="004403DB">
              <w:rPr>
                <w:rFonts w:cs="Calibri"/>
              </w:rPr>
              <w:br/>
              <w:t>na poziomie projektu</w:t>
            </w:r>
            <w:r w:rsidRPr="004403DB">
              <w:rPr>
                <w:rFonts w:cs="Calibri"/>
              </w:rPr>
              <w:br/>
              <w:t>(jeśli dotyczy)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Ogółem</w:t>
            </w:r>
          </w:p>
        </w:tc>
        <w:tc>
          <w:tcPr>
            <w:tcW w:w="1038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Mazowiecka</w:t>
            </w:r>
          </w:p>
        </w:tc>
        <w:tc>
          <w:tcPr>
            <w:tcW w:w="969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15 województw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-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84,28%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91,89%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Maksymalny </w:t>
            </w:r>
            <w:r w:rsidRPr="004403DB">
              <w:rPr>
                <w:rFonts w:cs="Calibri"/>
              </w:rPr>
              <w:br/>
              <w:t xml:space="preserve">% poziom dofinansowania </w:t>
            </w:r>
            <w:r w:rsidRPr="004403DB">
              <w:rPr>
                <w:rFonts w:cs="Calibri"/>
              </w:rPr>
              <w:lastRenderedPageBreak/>
              <w:t xml:space="preserve">całkowitego wydatków kwalifikowalnych </w:t>
            </w:r>
            <w:r w:rsidRPr="004403DB">
              <w:rPr>
                <w:rFonts w:cs="Calibri"/>
              </w:rPr>
              <w:br/>
              <w:t xml:space="preserve">na poziomie projektu </w:t>
            </w:r>
            <w:r w:rsidRPr="004403DB">
              <w:rPr>
                <w:rFonts w:cs="Calibri"/>
              </w:rPr>
              <w:br/>
              <w:t>(środki UE + ewentualne współfinansowanie z budżetu państwa lub innych źródeł przyznawane beneficjentowi przez właściwą instytucję)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lastRenderedPageBreak/>
              <w:t>100%</w:t>
            </w: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Minimalny wkład własny beneficjenta jako % wydatków kwalifikowalnych</w:t>
            </w:r>
            <w:r w:rsidRPr="004403DB">
              <w:rPr>
                <w:rFonts w:cs="Calibri"/>
              </w:rPr>
              <w:br/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Ogółem</w:t>
            </w:r>
          </w:p>
        </w:tc>
        <w:tc>
          <w:tcPr>
            <w:tcW w:w="1038" w:type="pct"/>
            <w:gridSpan w:val="3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Mazowiecka</w:t>
            </w:r>
          </w:p>
        </w:tc>
        <w:tc>
          <w:tcPr>
            <w:tcW w:w="969" w:type="pct"/>
            <w:gridSpan w:val="3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15 województw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Brak możliwości wnoszenia wkładu własnego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Brak możliwości wnoszenia wkładu własnego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Brak możliwości wnoszenia wkładu własnego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Minimalna</w:t>
            </w:r>
            <w:r w:rsidRPr="004403DB">
              <w:rPr>
                <w:rFonts w:cs="Calibri"/>
              </w:rPr>
              <w:br/>
              <w:t>i maksymalna wartość projektu (PLN)</w:t>
            </w:r>
          </w:p>
          <w:p w:rsidR="008122F8" w:rsidRPr="004403DB" w:rsidRDefault="008122F8" w:rsidP="000B1BC2">
            <w:pPr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(jeśli dotyczy)</w:t>
            </w: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Ogółem</w:t>
            </w:r>
          </w:p>
        </w:tc>
        <w:tc>
          <w:tcPr>
            <w:tcW w:w="1038" w:type="pct"/>
            <w:gridSpan w:val="3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Mazowiecka</w:t>
            </w:r>
          </w:p>
        </w:tc>
        <w:tc>
          <w:tcPr>
            <w:tcW w:w="969" w:type="pct"/>
            <w:gridSpan w:val="3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15 województw</w:t>
            </w: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1.1.1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738" w:type="pct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Poddziałanie nr 1.1.2</w:t>
            </w:r>
          </w:p>
        </w:tc>
        <w:tc>
          <w:tcPr>
            <w:tcW w:w="946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  <w:tc>
          <w:tcPr>
            <w:tcW w:w="1038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69" w:type="pct"/>
            <w:gridSpan w:val="3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 xml:space="preserve">Minimalna i maksymalna wartość wydatków kwalifikowalnych projektu (PLN) </w:t>
            </w:r>
            <w:r w:rsidRPr="004403DB">
              <w:rPr>
                <w:rFonts w:cs="Calibri"/>
              </w:rPr>
              <w:br/>
              <w:t>(jeśli dotyczy)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</w:tr>
      <w:tr w:rsidR="008122F8" w:rsidRPr="004403DB" w:rsidTr="000B1BC2">
        <w:trPr>
          <w:trHeight w:val="162"/>
        </w:trPr>
        <w:tc>
          <w:tcPr>
            <w:tcW w:w="1309" w:type="pct"/>
            <w:vMerge w:val="restar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Kwota alokacji UE na instrumenty finansowe</w:t>
            </w:r>
            <w:r w:rsidRPr="004403DB">
              <w:rPr>
                <w:rFonts w:cs="Calibri"/>
              </w:rPr>
              <w:br/>
              <w:t>(EUR)</w:t>
            </w:r>
          </w:p>
        </w:tc>
        <w:tc>
          <w:tcPr>
            <w:tcW w:w="923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23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Ogółem</w:t>
            </w:r>
          </w:p>
        </w:tc>
        <w:tc>
          <w:tcPr>
            <w:tcW w:w="923" w:type="pct"/>
            <w:gridSpan w:val="2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Mazowiecka</w:t>
            </w:r>
          </w:p>
        </w:tc>
        <w:tc>
          <w:tcPr>
            <w:tcW w:w="922" w:type="pct"/>
            <w:gridSpan w:val="2"/>
            <w:tcBorders>
              <w:bottom w:val="single" w:sz="4" w:space="0" w:color="auto"/>
            </w:tcBorders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Koperta 15 województw</w:t>
            </w:r>
          </w:p>
        </w:tc>
      </w:tr>
      <w:tr w:rsidR="008122F8" w:rsidRPr="004403DB" w:rsidTr="000B1BC2">
        <w:trPr>
          <w:trHeight w:val="162"/>
        </w:trPr>
        <w:tc>
          <w:tcPr>
            <w:tcW w:w="1309" w:type="pct"/>
            <w:vMerge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</w:p>
        </w:tc>
        <w:tc>
          <w:tcPr>
            <w:tcW w:w="923" w:type="pct"/>
            <w:gridSpan w:val="2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Działanie 1.1</w:t>
            </w:r>
          </w:p>
        </w:tc>
        <w:tc>
          <w:tcPr>
            <w:tcW w:w="923" w:type="pct"/>
            <w:gridSpan w:val="3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  <w:tc>
          <w:tcPr>
            <w:tcW w:w="923" w:type="pct"/>
            <w:gridSpan w:val="2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  <w:tc>
          <w:tcPr>
            <w:tcW w:w="922" w:type="pct"/>
            <w:gridSpan w:val="2"/>
            <w:shd w:val="thinDiagStripe" w:color="auto" w:fill="auto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Mechanizm wdrażania instrumentów finansowych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lastRenderedPageBreak/>
              <w:t>Rodzaj wsparcia instrumentów finansowych oraz najważniejsze</w:t>
            </w:r>
            <w:r>
              <w:rPr>
                <w:rFonts w:cs="Calibri"/>
              </w:rPr>
              <w:t xml:space="preserve"> </w:t>
            </w:r>
            <w:r w:rsidRPr="004403DB">
              <w:rPr>
                <w:rFonts w:cs="Calibri"/>
              </w:rPr>
              <w:t>warunki przyznania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</w:tr>
      <w:tr w:rsidR="008122F8" w:rsidRPr="004403DB" w:rsidTr="000B1BC2">
        <w:tc>
          <w:tcPr>
            <w:tcW w:w="1309" w:type="pct"/>
          </w:tcPr>
          <w:p w:rsidR="008122F8" w:rsidRPr="004403DB" w:rsidRDefault="008122F8" w:rsidP="008122F8">
            <w:pPr>
              <w:numPr>
                <w:ilvl w:val="0"/>
                <w:numId w:val="4"/>
              </w:numPr>
              <w:tabs>
                <w:tab w:val="num" w:pos="540"/>
              </w:tabs>
              <w:suppressAutoHyphens/>
              <w:spacing w:before="30" w:after="30" w:line="240" w:lineRule="auto"/>
              <w:ind w:left="540"/>
              <w:rPr>
                <w:rFonts w:cs="Calibri"/>
              </w:rPr>
            </w:pPr>
            <w:r w:rsidRPr="004403DB">
              <w:rPr>
                <w:rFonts w:cs="Calibri"/>
              </w:rPr>
              <w:t>Katalog ostatecznych odbiorców instrumentów finansowych</w:t>
            </w:r>
          </w:p>
        </w:tc>
        <w:tc>
          <w:tcPr>
            <w:tcW w:w="3691" w:type="pct"/>
            <w:gridSpan w:val="9"/>
          </w:tcPr>
          <w:p w:rsidR="008122F8" w:rsidRPr="004403DB" w:rsidRDefault="008122F8" w:rsidP="000B1BC2">
            <w:pPr>
              <w:spacing w:before="30" w:after="30" w:line="240" w:lineRule="auto"/>
              <w:rPr>
                <w:rFonts w:cs="Calibri"/>
              </w:rPr>
            </w:pPr>
            <w:r w:rsidRPr="004403DB">
              <w:rPr>
                <w:rFonts w:cs="Calibri"/>
              </w:rPr>
              <w:t>Nie dotyczy</w:t>
            </w:r>
          </w:p>
        </w:tc>
      </w:tr>
    </w:tbl>
    <w:p w:rsidR="008122F8" w:rsidRPr="004403DB" w:rsidRDefault="008122F8" w:rsidP="008122F8">
      <w:pPr>
        <w:rPr>
          <w:rFonts w:ascii="Arial" w:hAnsi="Arial" w:cs="Arial"/>
        </w:rPr>
      </w:pPr>
    </w:p>
    <w:p w:rsidR="00533712" w:rsidRDefault="00533712">
      <w:bookmarkStart w:id="3" w:name="_GoBack"/>
      <w:bookmarkEnd w:id="3"/>
    </w:p>
    <w:sectPr w:rsidR="0053371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2F8" w:rsidRDefault="008122F8" w:rsidP="008122F8">
      <w:pPr>
        <w:spacing w:after="0" w:line="240" w:lineRule="auto"/>
      </w:pPr>
      <w:r>
        <w:separator/>
      </w:r>
    </w:p>
  </w:endnote>
  <w:endnote w:type="continuationSeparator" w:id="0">
    <w:p w:rsidR="008122F8" w:rsidRDefault="008122F8" w:rsidP="0081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9207906"/>
      <w:docPartObj>
        <w:docPartGallery w:val="Page Numbers (Bottom of Page)"/>
        <w:docPartUnique/>
      </w:docPartObj>
    </w:sdtPr>
    <w:sdtContent>
      <w:p w:rsidR="008122F8" w:rsidRDefault="008122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8122F8" w:rsidRDefault="008122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2F8" w:rsidRDefault="008122F8" w:rsidP="008122F8">
      <w:pPr>
        <w:spacing w:after="0" w:line="240" w:lineRule="auto"/>
      </w:pPr>
      <w:r>
        <w:separator/>
      </w:r>
    </w:p>
  </w:footnote>
  <w:footnote w:type="continuationSeparator" w:id="0">
    <w:p w:rsidR="008122F8" w:rsidRDefault="008122F8" w:rsidP="008122F8">
      <w:pPr>
        <w:spacing w:after="0" w:line="240" w:lineRule="auto"/>
      </w:pPr>
      <w:r>
        <w:continuationSeparator/>
      </w:r>
    </w:p>
  </w:footnote>
  <w:footnote w:id="1">
    <w:p w:rsidR="008122F8" w:rsidRPr="00906B64" w:rsidRDefault="008122F8" w:rsidP="008122F8">
      <w:pPr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  <w:lang w:eastAsia="pl-PL"/>
        </w:rPr>
        <w:t xml:space="preserve"> </w:t>
      </w:r>
      <w:r w:rsidRPr="00906B64">
        <w:rPr>
          <w:rFonts w:ascii="Arial" w:hAnsi="Arial" w:cs="Arial"/>
          <w:sz w:val="16"/>
          <w:szCs w:val="16"/>
          <w:lang w:eastAsia="pl-PL"/>
        </w:rPr>
        <w:t>Kwota zawiera środki Inicjatywy na rzecz zatrudnienia ludzi młodych w wysokości 549 423 495, w tym wkład UE 504 875 644 (252 437 822 z EFS oraz 252 437 822 ze specjalnej linii budżetowej)</w:t>
      </w:r>
      <w:r>
        <w:rPr>
          <w:rFonts w:ascii="Arial" w:hAnsi="Arial" w:cs="Arial"/>
          <w:sz w:val="16"/>
          <w:szCs w:val="16"/>
          <w:lang w:eastAsia="pl-PL"/>
        </w:rPr>
        <w:t>.</w:t>
      </w:r>
    </w:p>
    <w:p w:rsidR="008122F8" w:rsidRDefault="008122F8" w:rsidP="008122F8">
      <w:pPr>
        <w:pStyle w:val="Tekstprzypisudolnego"/>
      </w:pPr>
    </w:p>
  </w:footnote>
  <w:footnote w:id="2">
    <w:p w:rsidR="008122F8" w:rsidRDefault="008122F8" w:rsidP="008122F8">
      <w:pPr>
        <w:pStyle w:val="Tekstprzypisudolnego"/>
        <w:jc w:val="both"/>
      </w:pPr>
      <w:r w:rsidRPr="00A640F0">
        <w:rPr>
          <w:rStyle w:val="Odwoanieprzypisudolnego"/>
        </w:rPr>
        <w:footnoteRef/>
      </w:r>
      <w:r>
        <w:t xml:space="preserve"> W całym dokumencie wytłuszczonym drukiem wskazano typy projektów </w:t>
      </w:r>
      <w:r w:rsidRPr="00A640F0">
        <w:t>wpisujące się w ramy wykonania.</w:t>
      </w:r>
    </w:p>
  </w:footnote>
  <w:footnote w:id="3">
    <w:p w:rsidR="008122F8" w:rsidRDefault="008122F8" w:rsidP="008122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Wsparcie indywidualnej i kompleksowej aktywizacji zawodowo-edukacyjnej osób młodych opierać się ma na co najmniej trzech elementach indywidualnej i kompleksowej pomocy (dwa z nich wskazane jako obligatoryjne, trzeci i kolejne – fakultatywne – wybierane w zależności od potrzeb i możliwości osób, którym udzielane jest wsparcie.</w:t>
      </w:r>
    </w:p>
  </w:footnote>
  <w:footnote w:id="4">
    <w:p w:rsidR="008122F8" w:rsidRDefault="008122F8" w:rsidP="008122F8">
      <w:pPr>
        <w:pStyle w:val="Tekstprzypisudolnego"/>
      </w:pPr>
      <w:r>
        <w:rPr>
          <w:rStyle w:val="Odwoanieprzypisudolnego"/>
        </w:rPr>
        <w:footnoteRef/>
      </w:r>
      <w:r>
        <w:t xml:space="preserve"> Patrz przypis nr 1.</w:t>
      </w:r>
    </w:p>
  </w:footnote>
  <w:footnote w:id="5">
    <w:p w:rsidR="008122F8" w:rsidRDefault="008122F8" w:rsidP="008122F8">
      <w:pPr>
        <w:pStyle w:val="Tekstprzypisudolnego"/>
      </w:pPr>
      <w:r>
        <w:rPr>
          <w:rStyle w:val="Odwoanieprzypisudolnego"/>
        </w:rPr>
        <w:footnoteRef/>
      </w:r>
      <w:r>
        <w:t xml:space="preserve"> Zgodnie z art. 33 ustawy z dnia 20 kwietnia 2004 r. o promocji zatrudnienia i instytucjach rynku pracy.</w:t>
      </w:r>
    </w:p>
  </w:footnote>
  <w:footnote w:id="6">
    <w:p w:rsidR="008122F8" w:rsidRPr="00DC58BF" w:rsidRDefault="008122F8" w:rsidP="008122F8">
      <w:pPr>
        <w:pStyle w:val="Tekstprzypisudolnego"/>
        <w:jc w:val="both"/>
        <w:rPr>
          <w:rFonts w:cs="Arial"/>
          <w:szCs w:val="16"/>
        </w:rPr>
      </w:pPr>
      <w:r>
        <w:rPr>
          <w:rStyle w:val="Odwoanieprzypisudolnego"/>
        </w:rPr>
        <w:footnoteRef/>
      </w:r>
      <w:r>
        <w:rPr>
          <w:rFonts w:cs="Arial"/>
          <w:szCs w:val="16"/>
          <w:lang w:eastAsia="pl-PL"/>
        </w:rPr>
        <w:t xml:space="preserve"> Z</w:t>
      </w:r>
      <w:r w:rsidRPr="002676E3">
        <w:rPr>
          <w:rFonts w:cs="Arial"/>
          <w:szCs w:val="16"/>
          <w:lang w:eastAsia="pl-PL"/>
        </w:rPr>
        <w:t xml:space="preserve">godnie z definicją osoby z kategorii NEET przyjętą w Programie Operacyjnym Wiedza Edukacja Rozwój 2014-2020.Za osobę z kategorii NEET uznaje się osobę młodą w wieku 15-29 lat, która </w:t>
      </w:r>
      <w:r w:rsidRPr="002676E3">
        <w:rPr>
          <w:rFonts w:cs="Calibri"/>
          <w:szCs w:val="16"/>
        </w:rPr>
        <w:t>spełnia łącznie trzy warunki, czyli nie pracuje (tj. jest bezrobotna lub bierna zawodowo), nie kształci się (tj. nie uczestniczy w kształceniu formalnym w trybie stacjonarnym) ani nie szkoli (tj. nie uczestniczy w pozaszkolnych zajęciach mających na celu uzyskanie, uzupełnienie lub doskonalenie umiejętności i kwalifikacji zawodowych lub ogólnych, potrzebnych do wykonywania pracy; w procesie oceny czy dana osoba się nie szkoli, a co za tym idzie kwalifikuje się do kategorii NEET, należy zweryfikować czy brała ona udział w tego typu formie aktywizacji, finansowanej ze środków publicznych, w okresie ostatnich 4 tygodni</w:t>
      </w:r>
      <w:r w:rsidRPr="00DC58BF">
        <w:rPr>
          <w:rFonts w:cs="Arial"/>
          <w:szCs w:val="16"/>
        </w:rPr>
        <w:t xml:space="preserve">). </w:t>
      </w:r>
      <w:r w:rsidRPr="00770100">
        <w:rPr>
          <w:rFonts w:cs="Arial"/>
          <w:bCs/>
          <w:color w:val="000000"/>
          <w:szCs w:val="16"/>
          <w:lang w:eastAsia="pl-PL"/>
        </w:rPr>
        <w:t>Kształcenie formalne w trybie stacjonarnym</w:t>
      </w:r>
      <w:r w:rsidRPr="00770100">
        <w:rPr>
          <w:rFonts w:cs="Arial"/>
          <w:color w:val="000000"/>
          <w:szCs w:val="16"/>
          <w:lang w:eastAsia="pl-PL"/>
        </w:rPr>
        <w:t xml:space="preserve"> rozumiane </w:t>
      </w:r>
      <w:r>
        <w:rPr>
          <w:rFonts w:cs="Arial"/>
          <w:color w:val="000000"/>
          <w:szCs w:val="16"/>
          <w:lang w:eastAsia="pl-PL"/>
        </w:rPr>
        <w:t xml:space="preserve">jest </w:t>
      </w:r>
      <w:r w:rsidRPr="00770100">
        <w:rPr>
          <w:rFonts w:cs="Arial"/>
          <w:color w:val="000000"/>
          <w:szCs w:val="16"/>
          <w:lang w:eastAsia="pl-PL"/>
        </w:rPr>
        <w:t>jako kształcenie w systemie szkolnym na poziomie szkoły podstawowej, gimnazjum, szkół ponadgimnazjalnych, jak również kształcenie na poziomie wyż</w:t>
      </w:r>
      <w:r w:rsidRPr="00DC58BF">
        <w:rPr>
          <w:rFonts w:cs="Arial"/>
          <w:color w:val="000000"/>
          <w:szCs w:val="16"/>
          <w:lang w:eastAsia="pl-PL"/>
        </w:rPr>
        <w:t xml:space="preserve">szym </w:t>
      </w:r>
      <w:r w:rsidRPr="00770100">
        <w:rPr>
          <w:rFonts w:cs="Arial"/>
          <w:color w:val="000000"/>
          <w:szCs w:val="16"/>
          <w:lang w:eastAsia="pl-PL"/>
        </w:rPr>
        <w:t>w formie studiów wyższych lub doktoranckich realizowanych w trybie dziennym.</w:t>
      </w:r>
    </w:p>
  </w:footnote>
  <w:footnote w:id="7">
    <w:p w:rsidR="008122F8" w:rsidRPr="00DC58BF" w:rsidRDefault="008122F8" w:rsidP="008122F8">
      <w:pPr>
        <w:pStyle w:val="Tekstprzypisudolnego"/>
        <w:rPr>
          <w:rFonts w:cs="Arial"/>
          <w:szCs w:val="16"/>
        </w:rPr>
      </w:pPr>
      <w:r w:rsidRPr="00DC58BF">
        <w:rPr>
          <w:rStyle w:val="Odwoanieprzypisudolnego"/>
          <w:rFonts w:cs="Arial"/>
          <w:szCs w:val="16"/>
        </w:rPr>
        <w:footnoteRef/>
      </w:r>
      <w:r w:rsidRPr="00DC58BF">
        <w:rPr>
          <w:rFonts w:cs="Arial"/>
          <w:szCs w:val="16"/>
        </w:rPr>
        <w:t xml:space="preserve"> Patrz przypis nr </w:t>
      </w:r>
      <w:r>
        <w:rPr>
          <w:rFonts w:cs="Arial"/>
          <w:szCs w:val="16"/>
        </w:rPr>
        <w:t>5</w:t>
      </w:r>
      <w:r w:rsidRPr="00DC58BF">
        <w:rPr>
          <w:rFonts w:cs="Arial"/>
          <w:szCs w:val="16"/>
        </w:rPr>
        <w:t>.</w:t>
      </w:r>
    </w:p>
  </w:footnote>
  <w:footnote w:id="8">
    <w:p w:rsidR="008122F8" w:rsidRPr="002676E3" w:rsidRDefault="008122F8" w:rsidP="008122F8">
      <w:pPr>
        <w:pStyle w:val="Tekstprzypisudolnego"/>
        <w:jc w:val="both"/>
        <w:rPr>
          <w:szCs w:val="16"/>
        </w:rPr>
      </w:pPr>
      <w:r>
        <w:rPr>
          <w:rStyle w:val="Odwoanieprzypisudolnego"/>
        </w:rPr>
        <w:footnoteRef/>
      </w:r>
      <w:r>
        <w:rPr>
          <w:rFonts w:cs="Arial"/>
          <w:szCs w:val="16"/>
          <w:lang w:eastAsia="pl-PL"/>
        </w:rPr>
        <w:t xml:space="preserve"> Patrz przypis nr 6.</w:t>
      </w:r>
    </w:p>
    <w:p w:rsidR="008122F8" w:rsidRDefault="008122F8" w:rsidP="008122F8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2058"/>
    <w:multiLevelType w:val="hybridMultilevel"/>
    <w:tmpl w:val="BCD25554"/>
    <w:lvl w:ilvl="0" w:tplc="1214ECC4">
      <w:start w:val="1"/>
      <w:numFmt w:val="decimal"/>
      <w:lvlText w:val="%1."/>
      <w:lvlJc w:val="left"/>
      <w:pPr>
        <w:ind w:left="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  <w:rPr>
        <w:rFonts w:cs="Times New Roman"/>
      </w:rPr>
    </w:lvl>
  </w:abstractNum>
  <w:abstractNum w:abstractNumId="1" w15:restartNumberingAfterBreak="0">
    <w:nsid w:val="184F4A8C"/>
    <w:multiLevelType w:val="hybridMultilevel"/>
    <w:tmpl w:val="871822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00639D7"/>
    <w:multiLevelType w:val="hybridMultilevel"/>
    <w:tmpl w:val="FA22A7CA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268A459F"/>
    <w:multiLevelType w:val="hybridMultilevel"/>
    <w:tmpl w:val="39328AAA"/>
    <w:lvl w:ilvl="0" w:tplc="4FBAF6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1731BF"/>
    <w:multiLevelType w:val="hybridMultilevel"/>
    <w:tmpl w:val="A440B0F2"/>
    <w:lvl w:ilvl="0" w:tplc="6A303D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8EF4EC2"/>
    <w:multiLevelType w:val="hybridMultilevel"/>
    <w:tmpl w:val="37288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2F8"/>
    <w:rsid w:val="00533712"/>
    <w:rsid w:val="0081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83F3B-DA0B-491E-88C4-2480B5C8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2F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Nagłówek 1 - Część SZOOP"/>
    <w:basedOn w:val="Normalny"/>
    <w:next w:val="Normalny"/>
    <w:link w:val="Nagwek1Znak"/>
    <w:uiPriority w:val="99"/>
    <w:qFormat/>
    <w:rsid w:val="008122F8"/>
    <w:pPr>
      <w:keepNext/>
      <w:spacing w:before="240" w:after="240" w:line="240" w:lineRule="auto"/>
      <w:outlineLvl w:val="0"/>
    </w:pPr>
    <w:rPr>
      <w:b/>
      <w:bCs/>
      <w:kern w:val="32"/>
      <w:sz w:val="32"/>
      <w:szCs w:val="32"/>
      <w:lang w:eastAsia="ja-JP"/>
    </w:rPr>
  </w:style>
  <w:style w:type="paragraph" w:styleId="Nagwek2">
    <w:name w:val="heading 2"/>
    <w:aliases w:val="Nagłówek 2 - opis Osi"/>
    <w:basedOn w:val="Normalny"/>
    <w:next w:val="Normalny"/>
    <w:link w:val="Nagwek2Znak"/>
    <w:uiPriority w:val="99"/>
    <w:qFormat/>
    <w:rsid w:val="008122F8"/>
    <w:pPr>
      <w:keepNext/>
      <w:spacing w:before="240" w:after="240" w:line="240" w:lineRule="auto"/>
      <w:outlineLvl w:val="1"/>
    </w:pPr>
    <w:rPr>
      <w:rFonts w:eastAsia="Times New Roman"/>
      <w:b/>
      <w:bCs/>
      <w:iCs/>
      <w:sz w:val="28"/>
      <w:szCs w:val="28"/>
    </w:rPr>
  </w:style>
  <w:style w:type="paragraph" w:styleId="Nagwek3">
    <w:name w:val="heading 3"/>
    <w:aliases w:val="Nagłówek 3 - działania"/>
    <w:basedOn w:val="Normalny"/>
    <w:next w:val="Normalny"/>
    <w:link w:val="Nagwek3Znak"/>
    <w:uiPriority w:val="99"/>
    <w:qFormat/>
    <w:rsid w:val="008122F8"/>
    <w:pPr>
      <w:keepNext/>
      <w:spacing w:before="240" w:after="240" w:line="240" w:lineRule="auto"/>
      <w:outlineLvl w:val="2"/>
    </w:pPr>
    <w:rPr>
      <w:rFonts w:eastAsia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- Część SZOOP Znak"/>
    <w:basedOn w:val="Domylnaczcionkaakapitu"/>
    <w:link w:val="Nagwek1"/>
    <w:uiPriority w:val="99"/>
    <w:rsid w:val="008122F8"/>
    <w:rPr>
      <w:rFonts w:ascii="Calibri" w:eastAsia="Calibri" w:hAnsi="Calibri" w:cs="Times New Roman"/>
      <w:b/>
      <w:bCs/>
      <w:kern w:val="32"/>
      <w:sz w:val="32"/>
      <w:szCs w:val="32"/>
      <w:lang w:eastAsia="ja-JP"/>
    </w:rPr>
  </w:style>
  <w:style w:type="character" w:customStyle="1" w:styleId="Nagwek2Znak">
    <w:name w:val="Nagłówek 2 Znak"/>
    <w:aliases w:val="Nagłówek 2 - opis Osi Znak"/>
    <w:basedOn w:val="Domylnaczcionkaakapitu"/>
    <w:link w:val="Nagwek2"/>
    <w:uiPriority w:val="99"/>
    <w:rsid w:val="008122F8"/>
    <w:rPr>
      <w:rFonts w:ascii="Calibri" w:eastAsia="Times New Roman" w:hAnsi="Calibri" w:cs="Times New Roman"/>
      <w:b/>
      <w:bCs/>
      <w:iCs/>
      <w:sz w:val="28"/>
      <w:szCs w:val="28"/>
    </w:rPr>
  </w:style>
  <w:style w:type="character" w:customStyle="1" w:styleId="Nagwek3Znak">
    <w:name w:val="Nagłówek 3 Znak"/>
    <w:aliases w:val="Nagłówek 3 - działania Znak"/>
    <w:basedOn w:val="Domylnaczcionkaakapitu"/>
    <w:link w:val="Nagwek3"/>
    <w:uiPriority w:val="99"/>
    <w:rsid w:val="008122F8"/>
    <w:rPr>
      <w:rFonts w:ascii="Calibri" w:eastAsia="Times New Roman" w:hAnsi="Calibri" w:cs="Times New Roman"/>
      <w:b/>
      <w:bCs/>
      <w:sz w:val="26"/>
      <w:szCs w:val="26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przyp,single space"/>
    <w:basedOn w:val="Normalny"/>
    <w:link w:val="TekstprzypisudolnegoZnak"/>
    <w:uiPriority w:val="99"/>
    <w:rsid w:val="008122F8"/>
    <w:pPr>
      <w:suppressAutoHyphens/>
      <w:spacing w:after="0" w:line="240" w:lineRule="auto"/>
    </w:pPr>
    <w:rPr>
      <w:rFonts w:ascii="Arial" w:hAnsi="Arial"/>
      <w:sz w:val="16"/>
      <w:szCs w:val="20"/>
    </w:rPr>
  </w:style>
  <w:style w:type="character" w:customStyle="1" w:styleId="TekstprzypisudolnegoZnak">
    <w:name w:val="Tekst przypisu dolnego Znak"/>
    <w:aliases w:val="Tekst przypisu Znak1,-E Fuﬂnotentext Znak1,Fuﬂnotentext Ursprung Znak1,Fußnotentext Ursprung Znak1,-E Fußnotentext Znak1,Fußnote Znak1,Podrozdział Znak1,Footnote Znak1,Podrozdzia3 Znak1,Footnote text Znak1,Znak Znak3,o Znak1"/>
    <w:basedOn w:val="Domylnaczcionkaakapitu"/>
    <w:link w:val="Tekstprzypisudolnego"/>
    <w:uiPriority w:val="99"/>
    <w:rsid w:val="008122F8"/>
    <w:rPr>
      <w:rFonts w:ascii="Arial" w:eastAsia="Calibri" w:hAnsi="Arial" w:cs="Times New Roman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122F8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12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2F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2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2F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B654-9D5B-438B-A377-37A345C0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2339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Natalia Klusek</cp:lastModifiedBy>
  <cp:revision>1</cp:revision>
  <dcterms:created xsi:type="dcterms:W3CDTF">2017-01-03T11:49:00Z</dcterms:created>
  <dcterms:modified xsi:type="dcterms:W3CDTF">2017-01-03T11:51:00Z</dcterms:modified>
</cp:coreProperties>
</file>